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F260" w14:textId="77777777" w:rsidR="00CA6D07" w:rsidRDefault="00114CD4" w:rsidP="00A6657F">
      <w:pPr>
        <w:jc w:val="center"/>
      </w:pPr>
      <w:r>
        <w:t>AP Government Social Media Project</w:t>
      </w:r>
    </w:p>
    <w:p w14:paraId="7ED11900" w14:textId="77777777" w:rsidR="00114CD4" w:rsidRDefault="00114CD4"/>
    <w:p w14:paraId="36B903D2" w14:textId="77777777" w:rsidR="00A6657F" w:rsidRDefault="00A6657F"/>
    <w:p w14:paraId="72D45BA3" w14:textId="2B4D50AF" w:rsidR="00A6657F" w:rsidRDefault="00A6657F">
      <w:r>
        <w:t>You are going to create</w:t>
      </w:r>
      <w:r w:rsidR="008E5E10">
        <w:t xml:space="preserve"> a visual representation of one court case</w:t>
      </w:r>
      <w:r>
        <w:t xml:space="preserve"> using a social media medium of your choice. The finished project should </w:t>
      </w:r>
      <w:r w:rsidR="00143EA5">
        <w:t xml:space="preserve">demonstrate </w:t>
      </w:r>
      <w:r>
        <w:t xml:space="preserve">the basic </w:t>
      </w:r>
      <w:r w:rsidR="00EE7BD2">
        <w:t xml:space="preserve">facts of the case, the </w:t>
      </w:r>
      <w:r>
        <w:t>ruling of that case</w:t>
      </w:r>
      <w:r w:rsidR="00EE7BD2">
        <w:t>,</w:t>
      </w:r>
      <w:r>
        <w:t xml:space="preserve"> and why it is considered to be a landmark case. </w:t>
      </w:r>
      <w:r w:rsidR="00AC5B1A">
        <w:t>This should be ascertained through the responses of the project – not just by stating it.</w:t>
      </w:r>
    </w:p>
    <w:p w14:paraId="7FEFEC16" w14:textId="77777777" w:rsidR="00143EA5" w:rsidRDefault="00143EA5"/>
    <w:p w14:paraId="32410653" w14:textId="7F4DCDA5" w:rsidR="00143EA5" w:rsidRDefault="00143EA5">
      <w:r>
        <w:t>Your project should demonstrate your clear, concise under</w:t>
      </w:r>
      <w:r w:rsidR="008E5E10">
        <w:t xml:space="preserve">standing of the </w:t>
      </w:r>
      <w:r w:rsidR="00BA0051">
        <w:t>Supreme Court case</w:t>
      </w:r>
      <w:r w:rsidR="00EE7BD2">
        <w:t xml:space="preserve"> assigned to you</w:t>
      </w:r>
      <w:r>
        <w:t xml:space="preserve">. Include enough background information to understand the basis of the case. You must also include the ruling </w:t>
      </w:r>
      <w:r w:rsidR="008E5E10">
        <w:t xml:space="preserve">and </w:t>
      </w:r>
      <w:r>
        <w:t xml:space="preserve">what </w:t>
      </w:r>
      <w:r w:rsidR="00BA0051">
        <w:t>Constitutional A</w:t>
      </w:r>
      <w:r>
        <w:t>mendment(s) were utilized in</w:t>
      </w:r>
      <w:r w:rsidR="00BA0051">
        <w:t xml:space="preserve"> the</w:t>
      </w:r>
      <w:r>
        <w:t xml:space="preserve"> ruling. </w:t>
      </w:r>
    </w:p>
    <w:p w14:paraId="3DE3C097" w14:textId="77777777" w:rsidR="00143EA5" w:rsidRDefault="00143EA5"/>
    <w:p w14:paraId="380ECC75" w14:textId="656AD6F4" w:rsidR="00143EA5" w:rsidRDefault="00143EA5">
      <w:r>
        <w:t xml:space="preserve">Along with the </w:t>
      </w:r>
      <w:r w:rsidR="008E5E10">
        <w:t xml:space="preserve">media product you will need to submit a </w:t>
      </w:r>
      <w:r w:rsidR="00EE7BD2">
        <w:t>two</w:t>
      </w:r>
      <w:r w:rsidR="008E5E10">
        <w:t xml:space="preserve">-page write up of how your product represents the background, ruling, and constitutional basis of the case. </w:t>
      </w:r>
      <w:r w:rsidR="00D17E4C">
        <w:t>You should include a works cited page and proper</w:t>
      </w:r>
      <w:r w:rsidR="00EE7BD2">
        <w:t xml:space="preserve"> citations for the sources used to learn about your case.</w:t>
      </w:r>
    </w:p>
    <w:p w14:paraId="68270FB9" w14:textId="77777777" w:rsidR="008E5E10" w:rsidRDefault="008E5E10"/>
    <w:p w14:paraId="3D931389" w14:textId="7185BDDB" w:rsidR="008E5E10" w:rsidRDefault="00B3506C">
      <w:r>
        <w:t>Projects will be due and w</w:t>
      </w:r>
      <w:r w:rsidR="008E5E10">
        <w:t>e will present the projects in class on</w:t>
      </w:r>
      <w:r w:rsidR="00AC5B1A">
        <w:t xml:space="preserve"> Tuesday April 25, 2017</w:t>
      </w:r>
      <w:r>
        <w:t xml:space="preserve">. There will be NO late projects accepted. </w:t>
      </w:r>
      <w:r w:rsidR="00C67236">
        <w:t>You should create some type of presentation for your product or capture a record of it in some way (I do not have a twitter account and will not be creating one to grade your assignment so I need so evidence of the account).</w:t>
      </w:r>
    </w:p>
    <w:p w14:paraId="57CC7FF0" w14:textId="77777777" w:rsidR="00A6657F" w:rsidRDefault="00A6657F"/>
    <w:p w14:paraId="5B55009D" w14:textId="5D48AADD" w:rsidR="00A6657F" w:rsidRDefault="00A6657F">
      <w:r>
        <w:t>Do NOT stand in front of a camera and state the holding.  BE CREATIVE!! Act out the scenario</w:t>
      </w:r>
      <w:r w:rsidR="00C67236">
        <w:t xml:space="preserve"> and film it</w:t>
      </w:r>
      <w:r>
        <w:t xml:space="preserve">, create a </w:t>
      </w:r>
      <w:proofErr w:type="spellStart"/>
      <w:r>
        <w:t>Fakebook</w:t>
      </w:r>
      <w:proofErr w:type="spellEnd"/>
      <w:r>
        <w:t xml:space="preserve"> account for the litigants, create a </w:t>
      </w:r>
      <w:proofErr w:type="spellStart"/>
      <w:r>
        <w:t>Glogster</w:t>
      </w:r>
      <w:proofErr w:type="spellEnd"/>
      <w:r>
        <w:t xml:space="preserve"> promoting ideas and outcomes, show the </w:t>
      </w:r>
      <w:r w:rsidR="00143EA5">
        <w:t>litigants’</w:t>
      </w:r>
      <w:r w:rsidR="00BA0051">
        <w:t xml:space="preserve"> I</w:t>
      </w:r>
      <w:r>
        <w:t xml:space="preserve">nstagram account, etc. </w:t>
      </w:r>
    </w:p>
    <w:p w14:paraId="73FFD622" w14:textId="77777777" w:rsidR="00143EA5" w:rsidRDefault="00143E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800"/>
        <w:gridCol w:w="1908"/>
      </w:tblGrid>
      <w:tr w:rsidR="00143EA5" w14:paraId="6F5625F9" w14:textId="77777777" w:rsidTr="00143EA5">
        <w:tc>
          <w:tcPr>
            <w:tcW w:w="5868" w:type="dxa"/>
          </w:tcPr>
          <w:p w14:paraId="11B1B2D0" w14:textId="26ACA630" w:rsidR="00143EA5" w:rsidRDefault="00143EA5">
            <w:r>
              <w:t xml:space="preserve">Requirement </w:t>
            </w:r>
          </w:p>
        </w:tc>
        <w:tc>
          <w:tcPr>
            <w:tcW w:w="1800" w:type="dxa"/>
          </w:tcPr>
          <w:p w14:paraId="69258A3C" w14:textId="487044F9" w:rsidR="00143EA5" w:rsidRDefault="00143EA5">
            <w:r>
              <w:t>Points Possible</w:t>
            </w:r>
          </w:p>
        </w:tc>
        <w:tc>
          <w:tcPr>
            <w:tcW w:w="1908" w:type="dxa"/>
          </w:tcPr>
          <w:p w14:paraId="6035143C" w14:textId="1612CD84" w:rsidR="00143EA5" w:rsidRDefault="00143EA5">
            <w:r>
              <w:t xml:space="preserve">Points Earned </w:t>
            </w:r>
          </w:p>
        </w:tc>
      </w:tr>
      <w:tr w:rsidR="00143EA5" w14:paraId="4B538CB1" w14:textId="77777777" w:rsidTr="00143EA5">
        <w:tc>
          <w:tcPr>
            <w:tcW w:w="5868" w:type="dxa"/>
          </w:tcPr>
          <w:p w14:paraId="56FBBC0A" w14:textId="31DDAC2D" w:rsidR="00143EA5" w:rsidRDefault="00143EA5" w:rsidP="00143EA5">
            <w:r>
              <w:t xml:space="preserve">Social media product represents background, ruling, and constitutional basis </w:t>
            </w:r>
          </w:p>
        </w:tc>
        <w:tc>
          <w:tcPr>
            <w:tcW w:w="1800" w:type="dxa"/>
          </w:tcPr>
          <w:p w14:paraId="1269ABC5" w14:textId="73DFC33C" w:rsidR="00143EA5" w:rsidRDefault="00D17E4C">
            <w:r>
              <w:t>20</w:t>
            </w:r>
          </w:p>
        </w:tc>
        <w:tc>
          <w:tcPr>
            <w:tcW w:w="1908" w:type="dxa"/>
          </w:tcPr>
          <w:p w14:paraId="7AEF59C3" w14:textId="77777777" w:rsidR="00143EA5" w:rsidRDefault="00143EA5"/>
        </w:tc>
      </w:tr>
      <w:tr w:rsidR="00143EA5" w14:paraId="188EDE3E" w14:textId="77777777" w:rsidTr="00143EA5">
        <w:tc>
          <w:tcPr>
            <w:tcW w:w="5868" w:type="dxa"/>
          </w:tcPr>
          <w:p w14:paraId="5F495012" w14:textId="3E94A913" w:rsidR="00143EA5" w:rsidRDefault="008E5E10">
            <w:r>
              <w:t>Social media p</w:t>
            </w:r>
            <w:r w:rsidR="00143EA5">
              <w:t>roduct shows a thorough, deep, understanding of the case</w:t>
            </w:r>
          </w:p>
        </w:tc>
        <w:tc>
          <w:tcPr>
            <w:tcW w:w="1800" w:type="dxa"/>
          </w:tcPr>
          <w:p w14:paraId="1A91A05A" w14:textId="42DBB8E0" w:rsidR="00143EA5" w:rsidRDefault="000E6F41">
            <w:r>
              <w:t>10</w:t>
            </w:r>
          </w:p>
        </w:tc>
        <w:tc>
          <w:tcPr>
            <w:tcW w:w="1908" w:type="dxa"/>
          </w:tcPr>
          <w:p w14:paraId="5FC1600E" w14:textId="77777777" w:rsidR="00143EA5" w:rsidRDefault="00143EA5"/>
        </w:tc>
      </w:tr>
      <w:tr w:rsidR="00143EA5" w14:paraId="18CAE5E8" w14:textId="77777777" w:rsidTr="00143EA5">
        <w:tc>
          <w:tcPr>
            <w:tcW w:w="5868" w:type="dxa"/>
          </w:tcPr>
          <w:p w14:paraId="3BF0AC3E" w14:textId="0D3381D4" w:rsidR="00143EA5" w:rsidRDefault="00D17E4C">
            <w:r>
              <w:t xml:space="preserve">Writing </w:t>
            </w:r>
            <w:r w:rsidR="0012283A">
              <w:t>clearly identifies how product represents chosen case</w:t>
            </w:r>
            <w:r w:rsidR="00C12D00">
              <w:t xml:space="preserve"> in MLA</w:t>
            </w:r>
          </w:p>
        </w:tc>
        <w:tc>
          <w:tcPr>
            <w:tcW w:w="1800" w:type="dxa"/>
          </w:tcPr>
          <w:p w14:paraId="1B0C9773" w14:textId="66144453" w:rsidR="00143EA5" w:rsidRDefault="0012283A">
            <w:r>
              <w:t>10</w:t>
            </w:r>
          </w:p>
        </w:tc>
        <w:tc>
          <w:tcPr>
            <w:tcW w:w="1908" w:type="dxa"/>
          </w:tcPr>
          <w:p w14:paraId="4D1AD0D9" w14:textId="77777777" w:rsidR="00143EA5" w:rsidRDefault="00143EA5"/>
        </w:tc>
      </w:tr>
      <w:tr w:rsidR="00B3506C" w14:paraId="2864C8C6" w14:textId="77777777" w:rsidTr="00143EA5">
        <w:tc>
          <w:tcPr>
            <w:tcW w:w="5868" w:type="dxa"/>
          </w:tcPr>
          <w:p w14:paraId="2575C5CD" w14:textId="3D772334" w:rsidR="00B3506C" w:rsidRDefault="00B3506C">
            <w:r>
              <w:t xml:space="preserve">Presentation of product </w:t>
            </w:r>
          </w:p>
        </w:tc>
        <w:tc>
          <w:tcPr>
            <w:tcW w:w="1800" w:type="dxa"/>
          </w:tcPr>
          <w:p w14:paraId="3232142D" w14:textId="1E8E627A" w:rsidR="00B3506C" w:rsidRDefault="00B3506C">
            <w:r>
              <w:t>5</w:t>
            </w:r>
          </w:p>
        </w:tc>
        <w:tc>
          <w:tcPr>
            <w:tcW w:w="1908" w:type="dxa"/>
          </w:tcPr>
          <w:p w14:paraId="463CDFDC" w14:textId="77777777" w:rsidR="00B3506C" w:rsidRDefault="00B3506C"/>
        </w:tc>
      </w:tr>
      <w:tr w:rsidR="00143EA5" w14:paraId="4805EEF2" w14:textId="77777777" w:rsidTr="00143EA5">
        <w:tc>
          <w:tcPr>
            <w:tcW w:w="5868" w:type="dxa"/>
          </w:tcPr>
          <w:p w14:paraId="3AE2BD4A" w14:textId="328E2076" w:rsidR="00143EA5" w:rsidRDefault="0012283A">
            <w:r>
              <w:t>On task and working during class time</w:t>
            </w:r>
          </w:p>
        </w:tc>
        <w:tc>
          <w:tcPr>
            <w:tcW w:w="1800" w:type="dxa"/>
          </w:tcPr>
          <w:p w14:paraId="278488B7" w14:textId="11800F75" w:rsidR="00143EA5" w:rsidRDefault="0012283A">
            <w:r>
              <w:t>5</w:t>
            </w:r>
          </w:p>
        </w:tc>
        <w:tc>
          <w:tcPr>
            <w:tcW w:w="1908" w:type="dxa"/>
          </w:tcPr>
          <w:p w14:paraId="227D9D3D" w14:textId="77777777" w:rsidR="00143EA5" w:rsidRDefault="00143EA5"/>
        </w:tc>
      </w:tr>
    </w:tbl>
    <w:p w14:paraId="38C6D2BC" w14:textId="77777777" w:rsidR="00143EA5" w:rsidRDefault="00143EA5"/>
    <w:p w14:paraId="52AF74E4" w14:textId="77777777" w:rsidR="009043B3" w:rsidRDefault="009043B3"/>
    <w:p w14:paraId="302427EB" w14:textId="77777777" w:rsidR="009043B3" w:rsidRDefault="009043B3"/>
    <w:p w14:paraId="761C3B15" w14:textId="77777777" w:rsidR="009043B3" w:rsidRDefault="009043B3"/>
    <w:p w14:paraId="59BF7F58" w14:textId="77777777" w:rsidR="009043B3" w:rsidRDefault="009043B3"/>
    <w:p w14:paraId="2285325B" w14:textId="77777777" w:rsidR="009043B3" w:rsidRDefault="009043B3"/>
    <w:p w14:paraId="6AE9894C" w14:textId="77777777" w:rsidR="009043B3" w:rsidRDefault="009043B3"/>
    <w:p w14:paraId="1C452A50" w14:textId="77777777" w:rsidR="009043B3" w:rsidRDefault="009043B3"/>
    <w:p w14:paraId="247502BA" w14:textId="77777777" w:rsidR="009043B3" w:rsidRDefault="009043B3"/>
    <w:p w14:paraId="37F64DDF" w14:textId="77777777" w:rsidR="009043B3" w:rsidRDefault="009043B3"/>
    <w:p w14:paraId="1E9A816B" w14:textId="77777777" w:rsidR="009043B3" w:rsidRDefault="009043B3"/>
    <w:p w14:paraId="2634FC4B" w14:textId="77777777" w:rsidR="009043B3" w:rsidRDefault="009043B3"/>
    <w:p w14:paraId="1063F5BD" w14:textId="26F581A7" w:rsidR="009A0100" w:rsidRPr="0085762F" w:rsidRDefault="009A0100" w:rsidP="009A0100">
      <w:pPr>
        <w:rPr>
          <w:b/>
        </w:rPr>
      </w:pPr>
      <w:r w:rsidRPr="0085762F">
        <w:rPr>
          <w:b/>
        </w:rPr>
        <w:t xml:space="preserve">List of Supreme Court Cases </w:t>
      </w:r>
    </w:p>
    <w:p w14:paraId="65D703D6" w14:textId="77777777" w:rsidR="009A0100" w:rsidRDefault="009A0100" w:rsidP="009A0100"/>
    <w:p w14:paraId="22841E71" w14:textId="47E6140B" w:rsidR="00BE096C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Lee vs. Weisman (1992)</w:t>
      </w:r>
    </w:p>
    <w:p w14:paraId="0A67D551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Santa Fe Independent School District v. Doe (2000)</w:t>
      </w:r>
    </w:p>
    <w:p w14:paraId="19281046" w14:textId="6CA5C31F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Reynolds vs. US (1878)</w:t>
      </w:r>
    </w:p>
    <w:p w14:paraId="5C71E761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Wisconsin v. Yoder  (1972)</w:t>
      </w:r>
    </w:p>
    <w:p w14:paraId="39A7DC63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 xml:space="preserve">Bd. Of Education of Westside Community Schools v </w:t>
      </w:r>
      <w:proofErr w:type="spellStart"/>
      <w:r>
        <w:t>Mergens</w:t>
      </w:r>
      <w:proofErr w:type="spellEnd"/>
      <w:r>
        <w:t xml:space="preserve"> (1990)</w:t>
      </w:r>
    </w:p>
    <w:p w14:paraId="4150D627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 xml:space="preserve">Church of </w:t>
      </w:r>
      <w:proofErr w:type="spellStart"/>
      <w:r>
        <w:t>Lukumi</w:t>
      </w:r>
      <w:proofErr w:type="spellEnd"/>
      <w:r>
        <w:t xml:space="preserve"> </w:t>
      </w:r>
      <w:proofErr w:type="spellStart"/>
      <w:r>
        <w:t>Babalu</w:t>
      </w:r>
      <w:proofErr w:type="spellEnd"/>
      <w:r>
        <w:t xml:space="preserve"> Aye v. City of Hialeah(1992)</w:t>
      </w:r>
    </w:p>
    <w:p w14:paraId="7876D037" w14:textId="77777777" w:rsidR="00325E54" w:rsidRP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 w:rsidRPr="00325E54">
        <w:t xml:space="preserve">Gonzales </w:t>
      </w:r>
      <w:r w:rsidRPr="00325E54">
        <w:rPr>
          <w:rFonts w:ascii="Times New Roman" w:hAnsi="Times New Roman"/>
        </w:rPr>
        <w:t xml:space="preserve">v. </w:t>
      </w:r>
      <w:r w:rsidRPr="00325E54">
        <w:rPr>
          <w:rFonts w:ascii="Times New Roman" w:hAnsi="Times New Roman"/>
          <w:color w:val="252525"/>
          <w:shd w:val="clear" w:color="auto" w:fill="FFFFFF"/>
        </w:rPr>
        <w:t xml:space="preserve">O Centro </w:t>
      </w:r>
      <w:proofErr w:type="spellStart"/>
      <w:r w:rsidRPr="00325E54">
        <w:rPr>
          <w:rFonts w:ascii="Times New Roman" w:hAnsi="Times New Roman"/>
          <w:color w:val="252525"/>
          <w:shd w:val="clear" w:color="auto" w:fill="FFFFFF"/>
        </w:rPr>
        <w:t>Espirita</w:t>
      </w:r>
      <w:proofErr w:type="spellEnd"/>
      <w:r w:rsidRPr="00325E54">
        <w:rPr>
          <w:rFonts w:ascii="Times New Roman" w:hAnsi="Times New Roman"/>
          <w:color w:val="252525"/>
          <w:shd w:val="clear" w:color="auto" w:fill="FFFFFF"/>
        </w:rPr>
        <w:t xml:space="preserve"> </w:t>
      </w:r>
      <w:proofErr w:type="spellStart"/>
      <w:r w:rsidRPr="00325E54">
        <w:rPr>
          <w:rFonts w:ascii="Times New Roman" w:hAnsi="Times New Roman"/>
          <w:color w:val="252525"/>
          <w:shd w:val="clear" w:color="auto" w:fill="FFFFFF"/>
        </w:rPr>
        <w:t>Beneficente</w:t>
      </w:r>
      <w:proofErr w:type="spellEnd"/>
      <w:r w:rsidRPr="00325E54">
        <w:rPr>
          <w:rFonts w:ascii="Times New Roman" w:hAnsi="Times New Roman"/>
          <w:color w:val="252525"/>
          <w:shd w:val="clear" w:color="auto" w:fill="FFFFFF"/>
        </w:rPr>
        <w:t xml:space="preserve"> </w:t>
      </w:r>
      <w:proofErr w:type="spellStart"/>
      <w:r w:rsidRPr="00325E54">
        <w:rPr>
          <w:rFonts w:ascii="Times New Roman" w:hAnsi="Times New Roman"/>
          <w:color w:val="252525"/>
          <w:shd w:val="clear" w:color="auto" w:fill="FFFFFF"/>
        </w:rPr>
        <w:t>Uniao</w:t>
      </w:r>
      <w:proofErr w:type="spellEnd"/>
      <w:r w:rsidRPr="00325E54">
        <w:rPr>
          <w:rFonts w:ascii="Times New Roman" w:hAnsi="Times New Roman"/>
          <w:color w:val="252525"/>
          <w:shd w:val="clear" w:color="auto" w:fill="FFFFFF"/>
        </w:rPr>
        <w:t xml:space="preserve"> do Vegetal (2006)</w:t>
      </w:r>
    </w:p>
    <w:p w14:paraId="057E9789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West Virginia State Board of Education v. Barnette (1943)</w:t>
      </w:r>
    </w:p>
    <w:p w14:paraId="7996F769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Bethel v. Fraser (1986)</w:t>
      </w:r>
    </w:p>
    <w:p w14:paraId="014A8C8B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Frederick v. Morse (2007)</w:t>
      </w:r>
    </w:p>
    <w:p w14:paraId="734B75CD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 xml:space="preserve">Hazelwood v. </w:t>
      </w:r>
      <w:proofErr w:type="spellStart"/>
      <w:r>
        <w:t>Kuhlmeier</w:t>
      </w:r>
      <w:proofErr w:type="spellEnd"/>
      <w:r>
        <w:t xml:space="preserve"> (1988)</w:t>
      </w:r>
    </w:p>
    <w:p w14:paraId="4AE08837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Hurley v. Irish American GLIB Association (1995)</w:t>
      </w:r>
    </w:p>
    <w:p w14:paraId="300A0B01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Snyder v. Phelps (2011)</w:t>
      </w:r>
    </w:p>
    <w:p w14:paraId="2CEE5259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US v. Leon (1984)</w:t>
      </w:r>
      <w:r w:rsidRPr="00B301FF">
        <w:t xml:space="preserve"> </w:t>
      </w:r>
    </w:p>
    <w:p w14:paraId="16ABD5BA" w14:textId="77777777" w:rsidR="00325E54" w:rsidRDefault="009A0100" w:rsidP="00BE096C">
      <w:pPr>
        <w:pStyle w:val="ListParagraph"/>
        <w:numPr>
          <w:ilvl w:val="0"/>
          <w:numId w:val="1"/>
        </w:numPr>
        <w:spacing w:line="480" w:lineRule="auto"/>
      </w:pPr>
      <w:r>
        <w:t>Loving v. Virginia (1967)</w:t>
      </w:r>
    </w:p>
    <w:p w14:paraId="2EC36F28" w14:textId="77777777" w:rsidR="00325E54" w:rsidRDefault="00325E54" w:rsidP="00BE096C">
      <w:pPr>
        <w:pStyle w:val="ListParagraph"/>
        <w:numPr>
          <w:ilvl w:val="0"/>
          <w:numId w:val="1"/>
        </w:numPr>
        <w:spacing w:line="480" w:lineRule="auto"/>
      </w:pPr>
      <w:r>
        <w:t xml:space="preserve">D.C. v. Heller </w:t>
      </w:r>
      <w:r w:rsidR="009A0100">
        <w:t>(2008)</w:t>
      </w:r>
    </w:p>
    <w:p w14:paraId="517DDE5E" w14:textId="609BC721" w:rsidR="009A0100" w:rsidRDefault="00325E54" w:rsidP="00BE09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Hamdi</w:t>
      </w:r>
      <w:proofErr w:type="spellEnd"/>
      <w:r>
        <w:t xml:space="preserve"> v. </w:t>
      </w:r>
      <w:proofErr w:type="spellStart"/>
      <w:r>
        <w:t>Rumsfield</w:t>
      </w:r>
      <w:proofErr w:type="spellEnd"/>
      <w:r>
        <w:t xml:space="preserve"> </w:t>
      </w:r>
      <w:r w:rsidR="00BE096C">
        <w:t>(2004)</w:t>
      </w:r>
    </w:p>
    <w:p w14:paraId="5ADE612F" w14:textId="38BA1F6A" w:rsidR="004B5070" w:rsidRDefault="004B5070" w:rsidP="004B5070">
      <w:pPr>
        <w:pStyle w:val="ListParagraph"/>
        <w:numPr>
          <w:ilvl w:val="0"/>
          <w:numId w:val="1"/>
        </w:numPr>
        <w:spacing w:line="480" w:lineRule="auto"/>
      </w:pPr>
      <w:r>
        <w:t>O’Brien v. US (1968)</w:t>
      </w:r>
    </w:p>
    <w:p w14:paraId="7F76EDA4" w14:textId="648B6254" w:rsidR="004B5070" w:rsidRDefault="004B5070" w:rsidP="004B507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McCullen</w:t>
      </w:r>
      <w:proofErr w:type="spellEnd"/>
      <w:r>
        <w:t xml:space="preserve"> v. Coakley (2014)</w:t>
      </w:r>
    </w:p>
    <w:p w14:paraId="10879E79" w14:textId="0007B776" w:rsidR="004B5070" w:rsidRDefault="007D1663" w:rsidP="004B5070">
      <w:pPr>
        <w:pStyle w:val="ListParagraph"/>
        <w:numPr>
          <w:ilvl w:val="0"/>
          <w:numId w:val="1"/>
        </w:numPr>
        <w:spacing w:line="480" w:lineRule="auto"/>
      </w:pPr>
      <w:r>
        <w:t>Clinton v. Jones (1997)</w:t>
      </w:r>
      <w:bookmarkStart w:id="0" w:name="_GoBack"/>
      <w:bookmarkEnd w:id="0"/>
    </w:p>
    <w:p w14:paraId="305D8FD7" w14:textId="009C2681" w:rsidR="009A0100" w:rsidRDefault="009A0100">
      <w:r>
        <w:tab/>
        <w:t xml:space="preserve"> </w:t>
      </w:r>
    </w:p>
    <w:sectPr w:rsidR="009A0100" w:rsidSect="003443CD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00B"/>
    <w:multiLevelType w:val="hybridMultilevel"/>
    <w:tmpl w:val="0230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D4"/>
    <w:rsid w:val="000E6F41"/>
    <w:rsid w:val="00114CD4"/>
    <w:rsid w:val="0012283A"/>
    <w:rsid w:val="00143EA5"/>
    <w:rsid w:val="00325E54"/>
    <w:rsid w:val="003443CD"/>
    <w:rsid w:val="003F0DC8"/>
    <w:rsid w:val="004B5070"/>
    <w:rsid w:val="007D1663"/>
    <w:rsid w:val="00832B34"/>
    <w:rsid w:val="008E5E10"/>
    <w:rsid w:val="009043B3"/>
    <w:rsid w:val="009A0100"/>
    <w:rsid w:val="00A6657F"/>
    <w:rsid w:val="00AC5B1A"/>
    <w:rsid w:val="00B3506C"/>
    <w:rsid w:val="00BA0051"/>
    <w:rsid w:val="00BE096C"/>
    <w:rsid w:val="00C12D00"/>
    <w:rsid w:val="00C67236"/>
    <w:rsid w:val="00CA6D07"/>
    <w:rsid w:val="00D17E4C"/>
    <w:rsid w:val="00E45C0D"/>
    <w:rsid w:val="00EE7BD2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FCF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Baxter</dc:creator>
  <cp:lastModifiedBy>Teacher</cp:lastModifiedBy>
  <cp:revision>8</cp:revision>
  <cp:lastPrinted>2015-05-18T18:11:00Z</cp:lastPrinted>
  <dcterms:created xsi:type="dcterms:W3CDTF">2016-04-21T11:11:00Z</dcterms:created>
  <dcterms:modified xsi:type="dcterms:W3CDTF">2017-04-10T18:06:00Z</dcterms:modified>
</cp:coreProperties>
</file>